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8E" w:rsidRDefault="00AE638E" w:rsidP="008F0950">
      <w:pPr>
        <w:tabs>
          <w:tab w:val="left" w:pos="270"/>
          <w:tab w:val="right" w:pos="13958"/>
        </w:tabs>
        <w:rPr>
          <w:b/>
          <w:lang w:val="el-GR"/>
        </w:rPr>
      </w:pPr>
      <w:r w:rsidRPr="008F0950">
        <w:rPr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1915F25" wp14:editId="30FBD55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lang w:val="el-GR"/>
        </w:rPr>
        <w:t>ΤΜΗΜΑ ΝΟΣΗΛΕΥΤΙΚΗΣ</w:t>
      </w:r>
    </w:p>
    <w:p w:rsidR="00AE638E" w:rsidRPr="00AE638E" w:rsidRDefault="00AE638E" w:rsidP="008F0950">
      <w:pPr>
        <w:tabs>
          <w:tab w:val="left" w:pos="270"/>
          <w:tab w:val="right" w:pos="13958"/>
        </w:tabs>
        <w:rPr>
          <w:b/>
          <w:lang w:val="el-GR"/>
        </w:rPr>
      </w:pPr>
      <w:r>
        <w:rPr>
          <w:b/>
          <w:lang w:val="el-GR"/>
        </w:rPr>
        <w:t>ΠΜΣ «ΘΕΡΑΠΕΙΑ &amp; ΦΡΟΝΤΙΔΑ ΤΡΑΥΜΑΤΩΝ &amp; ΕΛΚΩΝ»</w:t>
      </w:r>
    </w:p>
    <w:p w:rsidR="001C292F" w:rsidRPr="008F0950" w:rsidRDefault="001C292F" w:rsidP="008F0950">
      <w:pPr>
        <w:tabs>
          <w:tab w:val="left" w:pos="270"/>
          <w:tab w:val="right" w:pos="13958"/>
        </w:tabs>
        <w:rPr>
          <w:b/>
          <w:lang w:val="el-GR"/>
        </w:rPr>
      </w:pPr>
      <w:r w:rsidRPr="008F0950">
        <w:rPr>
          <w:b/>
          <w:lang w:val="el-GR"/>
        </w:rPr>
        <w:t xml:space="preserve">ΜΑΘΗΜΑ: </w:t>
      </w:r>
      <w:r w:rsidR="00756158" w:rsidRPr="008F0950">
        <w:rPr>
          <w:bCs/>
          <w:lang w:val="el-GR" w:eastAsia="el-GR"/>
        </w:rPr>
        <w:t>Ανάπτυξη νέων προϊόντων και υπηρεσιών</w:t>
      </w:r>
    </w:p>
    <w:p w:rsidR="00821A71" w:rsidRPr="008F0950" w:rsidRDefault="007D0B71" w:rsidP="001C292F">
      <w:pPr>
        <w:rPr>
          <w:b/>
          <w:lang w:val="el-GR"/>
        </w:rPr>
      </w:pPr>
      <w:r w:rsidRPr="008F0950">
        <w:rPr>
          <w:b/>
          <w:lang w:val="el-GR"/>
        </w:rPr>
        <w:t>Επιστημονικά Υπεύθυνος</w:t>
      </w:r>
      <w:r w:rsidR="001C292F" w:rsidRPr="008F0950">
        <w:rPr>
          <w:b/>
          <w:lang w:val="el-GR"/>
        </w:rPr>
        <w:t xml:space="preserve">: </w:t>
      </w:r>
      <w:r w:rsidR="00F40D04" w:rsidRPr="008F0950">
        <w:rPr>
          <w:b/>
          <w:lang w:val="el-GR"/>
        </w:rPr>
        <w:t>Κλήμης Νταλιάνης</w:t>
      </w:r>
    </w:p>
    <w:p w:rsidR="00F40D04" w:rsidRPr="008F0950" w:rsidRDefault="00F40D04" w:rsidP="001C292F">
      <w:pPr>
        <w:rPr>
          <w:b/>
          <w:lang w:val="el-GR"/>
        </w:rPr>
      </w:pPr>
      <w:r w:rsidRPr="008F0950">
        <w:rPr>
          <w:b/>
          <w:lang w:val="el-GR"/>
        </w:rPr>
        <w:t>Διδάσκουσα: Δρ. Ελένη Στόκου</w:t>
      </w:r>
    </w:p>
    <w:p w:rsidR="00821A71" w:rsidRPr="008F0950" w:rsidRDefault="00F40D04" w:rsidP="001C292F">
      <w:pPr>
        <w:rPr>
          <w:b/>
          <w:lang w:val="el-GR"/>
        </w:rPr>
      </w:pPr>
      <w:r w:rsidRPr="008F0950">
        <w:rPr>
          <w:b/>
          <w:lang w:val="el-GR"/>
        </w:rPr>
        <w:t>Ημέρα και ώρες Διδασκαλίας: Δευτέρα, 19:00 – 21:00</w:t>
      </w:r>
    </w:p>
    <w:p w:rsidR="001C292F" w:rsidRPr="008F0950" w:rsidRDefault="001C292F" w:rsidP="001C292F">
      <w:pPr>
        <w:rPr>
          <w:b/>
          <w:lang w:val="el-GR"/>
        </w:rPr>
      </w:pPr>
      <w:r w:rsidRPr="008F0950">
        <w:rPr>
          <w:b/>
          <w:lang w:val="el-GR"/>
        </w:rPr>
        <w:t xml:space="preserve">Αίθουσα Διδασκαλίας: </w:t>
      </w:r>
      <w:r w:rsidR="00F40D04" w:rsidRPr="008F0950">
        <w:rPr>
          <w:b/>
          <w:lang w:val="el-GR"/>
        </w:rPr>
        <w:t>ΠΡΟΚΑΤ</w:t>
      </w:r>
    </w:p>
    <w:p w:rsidR="00821A71" w:rsidRPr="005D7910" w:rsidRDefault="00821A71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672048" w:rsidRPr="00A51FC4" w:rsidRDefault="003F00D7" w:rsidP="00F013D3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5136F0" w:rsidRPr="00821A71">
        <w:rPr>
          <w:rFonts w:asciiTheme="minorHAnsi" w:hAnsiTheme="minorHAnsi" w:cstheme="minorHAnsi"/>
          <w:b/>
          <w:sz w:val="28"/>
          <w:szCs w:val="28"/>
          <w:lang w:val="el-GR"/>
        </w:rPr>
        <w:t>Ακαδ. Έτος 201</w:t>
      </w:r>
      <w:r w:rsidR="005136F0" w:rsidRPr="00A51FC4">
        <w:rPr>
          <w:rFonts w:asciiTheme="minorHAnsi" w:hAnsiTheme="minorHAnsi" w:cstheme="minorHAnsi"/>
          <w:b/>
          <w:sz w:val="28"/>
          <w:szCs w:val="28"/>
          <w:lang w:val="el-GR"/>
        </w:rPr>
        <w:t>8</w:t>
      </w:r>
      <w:r w:rsidR="002D097F" w:rsidRPr="00821A71">
        <w:rPr>
          <w:rFonts w:asciiTheme="minorHAnsi" w:hAnsiTheme="minorHAnsi" w:cstheme="minorHAnsi"/>
          <w:b/>
          <w:sz w:val="28"/>
          <w:szCs w:val="28"/>
          <w:lang w:val="el-GR"/>
        </w:rPr>
        <w:t>-201</w:t>
      </w:r>
      <w:r w:rsidR="005136F0" w:rsidRPr="00A51FC4">
        <w:rPr>
          <w:rFonts w:asciiTheme="minorHAnsi" w:hAnsiTheme="minorHAnsi" w:cstheme="minorHAnsi"/>
          <w:b/>
          <w:sz w:val="28"/>
          <w:szCs w:val="28"/>
          <w:lang w:val="el-GR"/>
        </w:rPr>
        <w:t>9</w:t>
      </w:r>
    </w:p>
    <w:tbl>
      <w:tblPr>
        <w:tblW w:w="6578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070"/>
        <w:gridCol w:w="7011"/>
        <w:gridCol w:w="2268"/>
      </w:tblGrid>
      <w:tr w:rsidR="008F0950" w:rsidRPr="00135AC8" w:rsidTr="008F0950">
        <w:tc>
          <w:tcPr>
            <w:tcW w:w="259" w:type="pct"/>
            <w:shd w:val="clear" w:color="auto" w:fill="FFFFFF"/>
          </w:tcPr>
          <w:p w:rsidR="008F0950" w:rsidRPr="00135AC8" w:rsidRDefault="008F0950" w:rsidP="00135AC8">
            <w:pPr>
              <w:jc w:val="center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b/>
                <w:lang w:val="el-GR"/>
              </w:rPr>
              <w:t>α/α</w:t>
            </w:r>
          </w:p>
        </w:tc>
        <w:tc>
          <w:tcPr>
            <w:tcW w:w="490" w:type="pct"/>
            <w:shd w:val="clear" w:color="auto" w:fill="FFFFFF"/>
          </w:tcPr>
          <w:p w:rsidR="008F0950" w:rsidRPr="00135AC8" w:rsidRDefault="008F0950" w:rsidP="00135AC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Ημ/νια</w:t>
            </w:r>
          </w:p>
        </w:tc>
        <w:tc>
          <w:tcPr>
            <w:tcW w:w="3212" w:type="pct"/>
            <w:shd w:val="clear" w:color="auto" w:fill="FFFFFF"/>
          </w:tcPr>
          <w:p w:rsidR="008F0950" w:rsidRPr="00135AC8" w:rsidRDefault="008F0950" w:rsidP="00135AC8">
            <w:pPr>
              <w:jc w:val="center"/>
              <w:rPr>
                <w:b/>
                <w:lang w:val="el-GR"/>
              </w:rPr>
            </w:pPr>
            <w:r w:rsidRPr="00135AC8">
              <w:rPr>
                <w:b/>
                <w:lang w:val="el-GR"/>
              </w:rPr>
              <w:t>Θεματική Ενότητα</w:t>
            </w:r>
          </w:p>
        </w:tc>
        <w:tc>
          <w:tcPr>
            <w:tcW w:w="1039" w:type="pct"/>
            <w:shd w:val="clear" w:color="auto" w:fill="FFFFFF"/>
          </w:tcPr>
          <w:p w:rsidR="008F0950" w:rsidRPr="00135AC8" w:rsidRDefault="008F0950" w:rsidP="00135AC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Διδάσκων</w:t>
            </w:r>
          </w:p>
        </w:tc>
      </w:tr>
      <w:tr w:rsidR="008F0950" w:rsidRPr="005136F0" w:rsidTr="008F0950">
        <w:trPr>
          <w:trHeight w:val="287"/>
        </w:trPr>
        <w:tc>
          <w:tcPr>
            <w:tcW w:w="259" w:type="pct"/>
            <w:shd w:val="clear" w:color="auto" w:fill="FFFFFF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1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1/10</w:t>
            </w:r>
            <w:r w:rsidRPr="003D65D8">
              <w:rPr>
                <w:lang w:val="el-GR"/>
              </w:rPr>
              <w:t>/18</w:t>
            </w:r>
          </w:p>
        </w:tc>
        <w:tc>
          <w:tcPr>
            <w:tcW w:w="3212" w:type="pct"/>
            <w:shd w:val="clear" w:color="auto" w:fill="BFBFBF"/>
          </w:tcPr>
          <w:p w:rsidR="008F0950" w:rsidRPr="00135AC8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Εισαγωγικές Έννοιες – Τεχνοοικονομικές Προβλέψεις για το Μέλλον</w:t>
            </w:r>
          </w:p>
        </w:tc>
        <w:tc>
          <w:tcPr>
            <w:tcW w:w="1039" w:type="pct"/>
            <w:shd w:val="clear" w:color="auto" w:fill="BFBFBF"/>
            <w:vAlign w:val="center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</w:t>
            </w:r>
          </w:p>
        </w:tc>
      </w:tr>
      <w:tr w:rsidR="008F0950" w:rsidRPr="00AD0EC9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2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8/10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</w:tcPr>
          <w:p w:rsidR="008F0950" w:rsidRPr="005A4870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color w:val="26282A"/>
                <w:shd w:val="clear" w:color="auto" w:fill="FFFFFF"/>
                <w:lang w:val="el-GR"/>
              </w:rPr>
            </w:pPr>
            <w:r w:rsidRPr="00010133">
              <w:rPr>
                <w:b/>
                <w:color w:val="26282A"/>
                <w:shd w:val="clear" w:color="auto" w:fill="FFFFFF"/>
                <w:lang w:val="el-GR"/>
              </w:rPr>
              <w:t>Νέα προϊόντα και υπηρεσίες</w:t>
            </w:r>
            <w:r w:rsidRPr="00010133">
              <w:rPr>
                <w:color w:val="26282A"/>
                <w:shd w:val="clear" w:color="auto" w:fill="FFFFFF"/>
                <w:lang w:val="el-GR"/>
              </w:rPr>
              <w:t xml:space="preserve"> σε μονάδες υγείας και πρόνοιας</w:t>
            </w:r>
          </w:p>
        </w:tc>
        <w:tc>
          <w:tcPr>
            <w:tcW w:w="1039" w:type="pct"/>
            <w:vAlign w:val="center"/>
          </w:tcPr>
          <w:p w:rsidR="008F0950" w:rsidRPr="004559C7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5136F0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3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15/10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shd w:val="clear" w:color="auto" w:fill="BFBFBF"/>
          </w:tcPr>
          <w:p w:rsidR="008F0950" w:rsidRPr="00010133" w:rsidRDefault="008F0950" w:rsidP="008F0950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Χρηματοοικονομικό Περιβάλλον – Τραπεζικό Σύστημα – Εύρεση Επενδυτών/Χρηματοδότησης</w:t>
            </w:r>
          </w:p>
        </w:tc>
        <w:tc>
          <w:tcPr>
            <w:tcW w:w="1039" w:type="pct"/>
            <w:shd w:val="clear" w:color="auto" w:fill="BFBFBF"/>
          </w:tcPr>
          <w:p w:rsidR="008F0950" w:rsidRPr="00135AC8" w:rsidRDefault="008F0950" w:rsidP="008F0950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</w:t>
            </w:r>
          </w:p>
        </w:tc>
      </w:tr>
      <w:tr w:rsidR="008F0950" w:rsidRPr="00AD0EC9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4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22/10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vAlign w:val="center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b/>
                <w:lang w:val="el-GR"/>
              </w:rPr>
              <w:t>Ανάλυση κ</w:t>
            </w:r>
            <w:r w:rsidRPr="00010133">
              <w:rPr>
                <w:b/>
                <w:lang w:val="el-GR"/>
              </w:rPr>
              <w:t>όστους</w:t>
            </w:r>
            <w:r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>προϊόντων και υπηρεσιών σε μονάδες υγείας</w:t>
            </w:r>
          </w:p>
        </w:tc>
        <w:tc>
          <w:tcPr>
            <w:tcW w:w="1039" w:type="pct"/>
          </w:tcPr>
          <w:p w:rsidR="008F0950" w:rsidRPr="00135AC8" w:rsidRDefault="008F0950" w:rsidP="008F0950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5136F0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5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29/10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shd w:val="clear" w:color="auto" w:fill="BFBFBF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Καινοτομία μέσω νέων Τεχνολογιών</w:t>
            </w:r>
          </w:p>
        </w:tc>
        <w:tc>
          <w:tcPr>
            <w:tcW w:w="1039" w:type="pct"/>
            <w:shd w:val="clear" w:color="auto" w:fill="BFBFBF"/>
            <w:vAlign w:val="center"/>
          </w:tcPr>
          <w:p w:rsidR="008F0950" w:rsidRPr="00135AC8" w:rsidRDefault="008F0950" w:rsidP="008F0950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</w:t>
            </w:r>
          </w:p>
        </w:tc>
      </w:tr>
      <w:tr w:rsidR="008F0950" w:rsidRPr="00AD0EC9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6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5/11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vAlign w:val="center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 w:rsidRPr="00010133">
              <w:rPr>
                <w:b/>
                <w:lang w:val="el-GR"/>
              </w:rPr>
              <w:t>Οικονομική αξιολόγηση</w:t>
            </w:r>
            <w:r>
              <w:rPr>
                <w:lang w:val="el-GR"/>
              </w:rPr>
              <w:t xml:space="preserve"> εναλλακτικών προγραμμάτων υγείας</w:t>
            </w:r>
            <w:r w:rsidRPr="00010133">
              <w:rPr>
                <w:lang w:val="el-GR"/>
              </w:rPr>
              <w:t>, με βάση τα κόστη και τα αποτελέσματ</w:t>
            </w:r>
            <w:r>
              <w:rPr>
                <w:lang w:val="el-GR"/>
              </w:rPr>
              <w:t>ά τους</w:t>
            </w:r>
          </w:p>
        </w:tc>
        <w:tc>
          <w:tcPr>
            <w:tcW w:w="1039" w:type="pct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5136F0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7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12/11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shd w:val="clear" w:color="auto" w:fill="BFBFBF"/>
            <w:vAlign w:val="center"/>
          </w:tcPr>
          <w:p w:rsidR="008F0950" w:rsidRPr="00E44023" w:rsidRDefault="008F0950" w:rsidP="008F0950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Φορητά (</w:t>
            </w:r>
            <w:r>
              <w:t>wearables</w:t>
            </w:r>
            <w:r>
              <w:rPr>
                <w:lang w:val="el-GR"/>
              </w:rPr>
              <w:t xml:space="preserve">) και οικιακά </w:t>
            </w:r>
            <w:r w:rsidRPr="00E44023">
              <w:rPr>
                <w:lang w:val="el-GR"/>
              </w:rPr>
              <w:t>Προϊόντα για Έξυπνες Υπηρεσίες Υγείας</w:t>
            </w:r>
          </w:p>
        </w:tc>
        <w:tc>
          <w:tcPr>
            <w:tcW w:w="1039" w:type="pct"/>
            <w:shd w:val="clear" w:color="auto" w:fill="BFBFBF"/>
          </w:tcPr>
          <w:p w:rsidR="008F0950" w:rsidRPr="00135AC8" w:rsidRDefault="008F0950" w:rsidP="008F0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</w:t>
            </w:r>
          </w:p>
        </w:tc>
      </w:tr>
      <w:tr w:rsidR="008F0950" w:rsidRPr="00AD0EC9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8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 w:rsidRPr="00135AC8">
              <w:rPr>
                <w:lang w:val="el-GR"/>
              </w:rPr>
              <w:t>1</w:t>
            </w:r>
            <w:r>
              <w:rPr>
                <w:lang w:val="el-GR"/>
              </w:rPr>
              <w:t>9/11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vAlign w:val="center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 w:rsidRPr="00010133">
              <w:rPr>
                <w:b/>
                <w:color w:val="26282A"/>
                <w:shd w:val="clear" w:color="auto" w:fill="FFFFFF"/>
                <w:lang w:val="el-GR"/>
              </w:rPr>
              <w:t>Διοίκηση, διαχείριση και προώθηση</w:t>
            </w:r>
            <w:r w:rsidRPr="00010133">
              <w:rPr>
                <w:color w:val="26282A"/>
                <w:shd w:val="clear" w:color="auto" w:fill="FFFFFF"/>
                <w:lang w:val="el-GR"/>
              </w:rPr>
              <w:t xml:space="preserve"> νέων προϊόντων</w:t>
            </w:r>
            <w:r>
              <w:rPr>
                <w:color w:val="26282A"/>
                <w:shd w:val="clear" w:color="auto" w:fill="FFFFFF"/>
                <w:lang w:val="el-GR"/>
              </w:rPr>
              <w:t xml:space="preserve"> </w:t>
            </w:r>
            <w:r>
              <w:rPr>
                <w:lang w:val="el-GR"/>
              </w:rPr>
              <w:t>στο χώρο της υγείας</w:t>
            </w:r>
          </w:p>
        </w:tc>
        <w:tc>
          <w:tcPr>
            <w:tcW w:w="1039" w:type="pct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010133" w:rsidTr="008F0950">
        <w:trPr>
          <w:trHeight w:val="501"/>
        </w:trPr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9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26/11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shd w:val="clear" w:color="auto" w:fill="BFBFBF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Νέα προϊόντα και υπηρεσίες: Πρόσβαση, Ασφάλεια και Ιδιωτικότητα</w:t>
            </w:r>
          </w:p>
        </w:tc>
        <w:tc>
          <w:tcPr>
            <w:tcW w:w="1039" w:type="pct"/>
            <w:shd w:val="clear" w:color="auto" w:fill="BFBFBF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</w:t>
            </w:r>
          </w:p>
        </w:tc>
      </w:tr>
      <w:tr w:rsidR="008F0950" w:rsidRPr="00AD0EC9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10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3/12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 w:rsidRPr="00010133">
              <w:rPr>
                <w:b/>
                <w:color w:val="26282A"/>
                <w:shd w:val="clear" w:color="auto" w:fill="FFFFFF"/>
                <w:lang w:val="el-GR"/>
              </w:rPr>
              <w:t>Ανάπτυξη</w:t>
            </w:r>
            <w:r w:rsidRPr="00010133">
              <w:rPr>
                <w:color w:val="26282A"/>
                <w:shd w:val="clear" w:color="auto" w:fill="FFFFFF"/>
                <w:lang w:val="el-GR"/>
              </w:rPr>
              <w:t xml:space="preserve"> νέων υπηρεσιών</w:t>
            </w:r>
            <w:r>
              <w:rPr>
                <w:color w:val="26282A"/>
                <w:shd w:val="clear" w:color="auto" w:fill="FFFFFF"/>
                <w:lang w:val="el-GR"/>
              </w:rPr>
              <w:t xml:space="preserve"> στη φροντίδα υγείας</w:t>
            </w:r>
          </w:p>
        </w:tc>
        <w:tc>
          <w:tcPr>
            <w:tcW w:w="1039" w:type="pct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135AC8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11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10/12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shd w:val="clear" w:color="auto" w:fill="BFBFBF"/>
            <w:vAlign w:val="center"/>
          </w:tcPr>
          <w:p w:rsidR="008F0950" w:rsidRPr="00010133" w:rsidRDefault="008F0950" w:rsidP="008F0950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Διαλογική συζήτηση – Ανάλυση και Ανάπτυξη Ιδεών  Νέων Προϊόντων και Υπηρεσιών</w:t>
            </w:r>
          </w:p>
        </w:tc>
        <w:tc>
          <w:tcPr>
            <w:tcW w:w="1039" w:type="pct"/>
            <w:shd w:val="clear" w:color="auto" w:fill="BFBFBF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</w:t>
            </w:r>
          </w:p>
        </w:tc>
      </w:tr>
      <w:tr w:rsidR="008F0950" w:rsidRPr="00010133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 w:rsidRPr="00135AC8">
              <w:rPr>
                <w:lang w:val="el-GR"/>
              </w:rPr>
              <w:t>12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17/12</w:t>
            </w:r>
            <w:r>
              <w:rPr>
                <w:lang w:val="en-US"/>
              </w:rPr>
              <w:t>/18</w:t>
            </w:r>
          </w:p>
        </w:tc>
        <w:tc>
          <w:tcPr>
            <w:tcW w:w="3212" w:type="pct"/>
            <w:vAlign w:val="center"/>
          </w:tcPr>
          <w:p w:rsidR="008F0950" w:rsidRPr="00010133" w:rsidRDefault="008F0950" w:rsidP="008F0950">
            <w:pPr>
              <w:tabs>
                <w:tab w:val="left" w:pos="7120"/>
              </w:tabs>
              <w:spacing w:line="276" w:lineRule="auto"/>
              <w:contextualSpacing/>
              <w:rPr>
                <w:b/>
                <w:lang w:val="el-GR"/>
              </w:rPr>
            </w:pPr>
            <w:r w:rsidRPr="00010133">
              <w:rPr>
                <w:b/>
                <w:color w:val="26282A"/>
                <w:shd w:val="clear" w:color="auto" w:fill="FFFFFF"/>
                <w:lang w:val="el-GR"/>
              </w:rPr>
              <w:t>Μελέτες περίπτωσης</w:t>
            </w:r>
            <w:r w:rsidRPr="00010133">
              <w:rPr>
                <w:b/>
                <w:color w:val="26282A"/>
                <w:shd w:val="clear" w:color="auto" w:fill="FFFFFF"/>
              </w:rPr>
              <w:t> </w:t>
            </w:r>
          </w:p>
        </w:tc>
        <w:tc>
          <w:tcPr>
            <w:tcW w:w="1039" w:type="pct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135AC8" w:rsidTr="008F0950">
        <w:tc>
          <w:tcPr>
            <w:tcW w:w="259" w:type="pct"/>
          </w:tcPr>
          <w:p w:rsidR="008F0950" w:rsidRPr="00135AC8" w:rsidRDefault="008F0950" w:rsidP="008F0950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</w:tcPr>
          <w:p w:rsidR="008F0950" w:rsidRPr="003D65D8" w:rsidRDefault="008F0950" w:rsidP="008F0950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7/1</w:t>
            </w:r>
            <w:r>
              <w:rPr>
                <w:lang w:val="en-US"/>
              </w:rPr>
              <w:t>/19</w:t>
            </w:r>
          </w:p>
        </w:tc>
        <w:tc>
          <w:tcPr>
            <w:tcW w:w="3212" w:type="pct"/>
            <w:shd w:val="clear" w:color="auto" w:fill="BFBFBF"/>
            <w:vAlign w:val="center"/>
          </w:tcPr>
          <w:p w:rsidR="008F0950" w:rsidRPr="00AD0EC9" w:rsidRDefault="008F0950" w:rsidP="008F0950">
            <w:pPr>
              <w:spacing w:line="276" w:lineRule="auto"/>
              <w:rPr>
                <w:b/>
                <w:lang w:val="el-GR"/>
              </w:rPr>
            </w:pPr>
            <w:r w:rsidRPr="00AD0EC9">
              <w:rPr>
                <w:b/>
                <w:lang w:val="el-GR"/>
              </w:rPr>
              <w:t>Επανάληψη</w:t>
            </w:r>
          </w:p>
        </w:tc>
        <w:tc>
          <w:tcPr>
            <w:tcW w:w="1039" w:type="pct"/>
            <w:shd w:val="clear" w:color="auto" w:fill="BFBFBF"/>
          </w:tcPr>
          <w:p w:rsidR="008F0950" w:rsidRPr="00135AC8" w:rsidRDefault="008F0950" w:rsidP="008F0950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Στόκου Ε.</w:t>
            </w:r>
          </w:p>
        </w:tc>
      </w:tr>
      <w:tr w:rsidR="008F0950" w:rsidRPr="00135AC8" w:rsidTr="008F0950">
        <w:tc>
          <w:tcPr>
            <w:tcW w:w="259" w:type="pct"/>
          </w:tcPr>
          <w:p w:rsidR="008F0950" w:rsidRPr="00135AC8" w:rsidRDefault="008F0950" w:rsidP="009017A9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Pr="00AA3170">
              <w:rPr>
                <w:vertAlign w:val="superscript"/>
                <w:lang w:val="el-GR"/>
              </w:rPr>
              <w:t>ο</w:t>
            </w:r>
          </w:p>
        </w:tc>
        <w:tc>
          <w:tcPr>
            <w:tcW w:w="490" w:type="pct"/>
            <w:shd w:val="clear" w:color="auto" w:fill="BFBFBF"/>
          </w:tcPr>
          <w:p w:rsidR="008F0950" w:rsidRPr="00821A71" w:rsidRDefault="008F0950" w:rsidP="00DD740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3212" w:type="pct"/>
            <w:shd w:val="clear" w:color="auto" w:fill="BFBFBF"/>
            <w:vAlign w:val="center"/>
          </w:tcPr>
          <w:p w:rsidR="008F0950" w:rsidRDefault="008F0950" w:rsidP="00DD740D">
            <w:pPr>
              <w:jc w:val="center"/>
              <w:rPr>
                <w:b/>
                <w:lang w:val="el-GR"/>
              </w:rPr>
            </w:pPr>
            <w:r w:rsidRPr="00821A71">
              <w:rPr>
                <w:b/>
                <w:lang w:val="el-GR"/>
              </w:rPr>
              <w:t>Εξετάσεις</w:t>
            </w:r>
          </w:p>
          <w:p w:rsidR="008F0950" w:rsidRPr="00821A71" w:rsidRDefault="008F0950" w:rsidP="00DD740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039" w:type="pct"/>
            <w:shd w:val="clear" w:color="auto" w:fill="BFBFBF"/>
          </w:tcPr>
          <w:p w:rsidR="008F0950" w:rsidRPr="00135AC8" w:rsidRDefault="008F0950" w:rsidP="004559C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Νταλιάνης Κ. – Στόκου Ε.</w:t>
            </w:r>
          </w:p>
        </w:tc>
      </w:tr>
    </w:tbl>
    <w:p w:rsidR="002568F4" w:rsidRDefault="002568F4" w:rsidP="00045A36">
      <w:pPr>
        <w:tabs>
          <w:tab w:val="left" w:pos="1305"/>
        </w:tabs>
        <w:rPr>
          <w:rFonts w:ascii="Palatino Linotype" w:hAnsi="Palatino Linotype" w:cs="Arial"/>
          <w:sz w:val="20"/>
          <w:szCs w:val="20"/>
          <w:lang w:val="el-GR"/>
        </w:rPr>
      </w:pPr>
    </w:p>
    <w:sectPr w:rsidR="002568F4" w:rsidSect="0082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2B" w:rsidRDefault="00F5292B" w:rsidP="00821A71">
      <w:r>
        <w:separator/>
      </w:r>
    </w:p>
  </w:endnote>
  <w:endnote w:type="continuationSeparator" w:id="0">
    <w:p w:rsidR="00F5292B" w:rsidRDefault="00F5292B" w:rsidP="008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2B" w:rsidRDefault="00F5292B" w:rsidP="00821A71">
      <w:r>
        <w:separator/>
      </w:r>
    </w:p>
  </w:footnote>
  <w:footnote w:type="continuationSeparator" w:id="0">
    <w:p w:rsidR="00F5292B" w:rsidRDefault="00F5292B" w:rsidP="0082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5EC9"/>
    <w:multiLevelType w:val="hybridMultilevel"/>
    <w:tmpl w:val="744AD5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10133"/>
    <w:rsid w:val="00045A36"/>
    <w:rsid w:val="00064618"/>
    <w:rsid w:val="000B12E2"/>
    <w:rsid w:val="000B2CAC"/>
    <w:rsid w:val="0010586D"/>
    <w:rsid w:val="001116FC"/>
    <w:rsid w:val="00135AC8"/>
    <w:rsid w:val="001370DC"/>
    <w:rsid w:val="00195A00"/>
    <w:rsid w:val="001A0614"/>
    <w:rsid w:val="001C292F"/>
    <w:rsid w:val="001C3422"/>
    <w:rsid w:val="002568F4"/>
    <w:rsid w:val="00282F11"/>
    <w:rsid w:val="002834BD"/>
    <w:rsid w:val="00294B20"/>
    <w:rsid w:val="002B40F0"/>
    <w:rsid w:val="002D097F"/>
    <w:rsid w:val="002D5781"/>
    <w:rsid w:val="00313E01"/>
    <w:rsid w:val="00325ED6"/>
    <w:rsid w:val="00343840"/>
    <w:rsid w:val="003514CF"/>
    <w:rsid w:val="003F00D7"/>
    <w:rsid w:val="00401C89"/>
    <w:rsid w:val="004559C7"/>
    <w:rsid w:val="0047038D"/>
    <w:rsid w:val="004B28B7"/>
    <w:rsid w:val="00503CA0"/>
    <w:rsid w:val="005060DB"/>
    <w:rsid w:val="005136F0"/>
    <w:rsid w:val="0053574C"/>
    <w:rsid w:val="005414F9"/>
    <w:rsid w:val="00580B68"/>
    <w:rsid w:val="005A4870"/>
    <w:rsid w:val="005C4072"/>
    <w:rsid w:val="005D7910"/>
    <w:rsid w:val="005E60DA"/>
    <w:rsid w:val="005E74E4"/>
    <w:rsid w:val="005F24B6"/>
    <w:rsid w:val="00625A71"/>
    <w:rsid w:val="00672048"/>
    <w:rsid w:val="006A7467"/>
    <w:rsid w:val="006C77E6"/>
    <w:rsid w:val="00737B4E"/>
    <w:rsid w:val="00756158"/>
    <w:rsid w:val="007712A3"/>
    <w:rsid w:val="007B33EB"/>
    <w:rsid w:val="007D0B71"/>
    <w:rsid w:val="007D1D09"/>
    <w:rsid w:val="00821A71"/>
    <w:rsid w:val="0088538F"/>
    <w:rsid w:val="008F0950"/>
    <w:rsid w:val="009017A9"/>
    <w:rsid w:val="00975C9E"/>
    <w:rsid w:val="009D56BE"/>
    <w:rsid w:val="00A14A81"/>
    <w:rsid w:val="00A51FC4"/>
    <w:rsid w:val="00A83B7D"/>
    <w:rsid w:val="00AA3170"/>
    <w:rsid w:val="00AD0EC9"/>
    <w:rsid w:val="00AD73ED"/>
    <w:rsid w:val="00AE638E"/>
    <w:rsid w:val="00B120B1"/>
    <w:rsid w:val="00B311C3"/>
    <w:rsid w:val="00BB1D04"/>
    <w:rsid w:val="00CC2C2F"/>
    <w:rsid w:val="00CF4B32"/>
    <w:rsid w:val="00D06146"/>
    <w:rsid w:val="00D85A25"/>
    <w:rsid w:val="00DD740D"/>
    <w:rsid w:val="00DF2533"/>
    <w:rsid w:val="00E0436F"/>
    <w:rsid w:val="00E2671B"/>
    <w:rsid w:val="00E44023"/>
    <w:rsid w:val="00E5550F"/>
    <w:rsid w:val="00EA354E"/>
    <w:rsid w:val="00EB3A53"/>
    <w:rsid w:val="00EB6CE7"/>
    <w:rsid w:val="00F013D3"/>
    <w:rsid w:val="00F33B3E"/>
    <w:rsid w:val="00F40D04"/>
    <w:rsid w:val="00F51952"/>
    <w:rsid w:val="00F5292B"/>
    <w:rsid w:val="00F66434"/>
    <w:rsid w:val="00F76EB3"/>
    <w:rsid w:val="00F94742"/>
    <w:rsid w:val="00FA3AFB"/>
    <w:rsid w:val="00FD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99ABA-E3BE-462E-9BCB-BB5B7C0F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003A-AE75-4669-A354-A96EE30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2</cp:revision>
  <dcterms:created xsi:type="dcterms:W3CDTF">2018-10-22T15:10:00Z</dcterms:created>
  <dcterms:modified xsi:type="dcterms:W3CDTF">2018-10-22T15:10:00Z</dcterms:modified>
</cp:coreProperties>
</file>